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C" w:rsidRPr="00A2245E" w:rsidRDefault="00625E2C">
      <w:pPr>
        <w:rPr>
          <w:rFonts w:ascii="Tahoma" w:hAnsi="Tahoma" w:cs="Tahoma"/>
        </w:rPr>
      </w:pPr>
      <w:bookmarkStart w:id="0" w:name="_GoBack"/>
      <w:bookmarkEnd w:id="0"/>
      <w:r w:rsidRPr="00A2245E">
        <w:rPr>
          <w:rFonts w:ascii="Tahoma" w:hAnsi="Tahoma" w:cs="Tahoma"/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-67310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Pr="00A2245E" w:rsidRDefault="00625E2C" w:rsidP="00625E2C">
      <w:pPr>
        <w:rPr>
          <w:rFonts w:ascii="Tahoma" w:hAnsi="Tahoma" w:cs="Tahoma"/>
        </w:rPr>
      </w:pPr>
    </w:p>
    <w:p w:rsidR="00832091" w:rsidRPr="00A2245E" w:rsidRDefault="00625E2C" w:rsidP="00625E2C">
      <w:pPr>
        <w:tabs>
          <w:tab w:val="left" w:pos="6060"/>
        </w:tabs>
        <w:rPr>
          <w:rFonts w:ascii="Tahoma" w:hAnsi="Tahoma" w:cs="Tahoma"/>
        </w:rPr>
      </w:pPr>
      <w:r w:rsidRPr="00A2245E">
        <w:rPr>
          <w:rFonts w:ascii="Tahoma" w:hAnsi="Tahoma" w:cs="Tahoma"/>
        </w:rPr>
        <w:tab/>
      </w:r>
    </w:p>
    <w:p w:rsidR="00625E2C" w:rsidRPr="00A2245E" w:rsidRDefault="00625E2C" w:rsidP="00625E2C">
      <w:pPr>
        <w:pStyle w:val="Title"/>
        <w:rPr>
          <w:rFonts w:ascii="Tahoma" w:hAnsi="Tahoma" w:cs="Tahoma"/>
          <w:sz w:val="22"/>
          <w:szCs w:val="22"/>
        </w:rPr>
      </w:pPr>
    </w:p>
    <w:p w:rsidR="00625E2C" w:rsidRPr="00A2245E" w:rsidRDefault="00625E2C" w:rsidP="00625E2C">
      <w:pPr>
        <w:pStyle w:val="Title"/>
        <w:rPr>
          <w:rFonts w:ascii="Tahoma" w:hAnsi="Tahoma" w:cs="Tahoma"/>
          <w:sz w:val="22"/>
          <w:szCs w:val="22"/>
        </w:rPr>
      </w:pPr>
    </w:p>
    <w:p w:rsidR="00625E2C" w:rsidRPr="00A2245E" w:rsidRDefault="00625E2C" w:rsidP="00625E2C">
      <w:pPr>
        <w:pStyle w:val="Title"/>
        <w:rPr>
          <w:rFonts w:ascii="Tahoma" w:hAnsi="Tahoma" w:cs="Tahoma"/>
          <w:sz w:val="22"/>
          <w:szCs w:val="22"/>
        </w:rPr>
      </w:pPr>
    </w:p>
    <w:p w:rsidR="00625E2C" w:rsidRPr="00A2245E" w:rsidRDefault="00625E2C" w:rsidP="00625E2C">
      <w:pPr>
        <w:pStyle w:val="Title"/>
        <w:rPr>
          <w:rFonts w:ascii="Tahoma" w:hAnsi="Tahoma" w:cs="Tahoma"/>
          <w:sz w:val="22"/>
          <w:szCs w:val="22"/>
        </w:rPr>
      </w:pPr>
      <w:r w:rsidRPr="00A2245E">
        <w:rPr>
          <w:rFonts w:ascii="Tahoma" w:hAnsi="Tahoma" w:cs="Tahoma"/>
          <w:sz w:val="22"/>
          <w:szCs w:val="22"/>
        </w:rPr>
        <w:t>JOB PROFILE</w:t>
      </w:r>
    </w:p>
    <w:p w:rsidR="00625E2C" w:rsidRPr="00A2245E" w:rsidRDefault="00625E2C" w:rsidP="00625E2C">
      <w:pPr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8129"/>
      </w:tblGrid>
      <w:tr w:rsidR="00625E2C" w:rsidRPr="00A2245E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A2245E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  <w:b/>
                <w:bCs/>
              </w:rPr>
              <w:t>POSITION DESCRIPTION</w:t>
            </w:r>
          </w:p>
        </w:tc>
      </w:tr>
      <w:tr w:rsidR="00625E2C" w:rsidRPr="00A2245E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A95B66" w:rsidRPr="00A2245E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  <w:p w:rsidR="00625E2C" w:rsidRPr="00A2245E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Position Title</w:t>
            </w:r>
          </w:p>
        </w:tc>
        <w:tc>
          <w:tcPr>
            <w:tcW w:w="8129" w:type="dxa"/>
            <w:vAlign w:val="center"/>
          </w:tcPr>
          <w:p w:rsidR="00625E2C" w:rsidRPr="00A2245E" w:rsidRDefault="00017738" w:rsidP="00832091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  <w:lang w:val="en-GB"/>
              </w:rPr>
              <w:t>Senior Supply Chain Officer (Logistics)</w:t>
            </w:r>
          </w:p>
        </w:tc>
      </w:tr>
      <w:tr w:rsidR="00625E2C" w:rsidRPr="00A2245E" w:rsidTr="00625E2C">
        <w:trPr>
          <w:cantSplit/>
        </w:trPr>
        <w:tc>
          <w:tcPr>
            <w:tcW w:w="2077" w:type="dxa"/>
            <w:vAlign w:val="center"/>
          </w:tcPr>
          <w:p w:rsidR="00625E2C" w:rsidRPr="00A2245E" w:rsidRDefault="000539E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Description</w:t>
            </w:r>
          </w:p>
          <w:p w:rsidR="00625E2C" w:rsidRPr="00A2245E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A2245E" w:rsidRDefault="00017738" w:rsidP="00DD1E5C">
            <w:pPr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 xml:space="preserve">The main function of the Senior Supply Chain Officer is to manage and control the </w:t>
            </w:r>
            <w:r w:rsidR="00DD1E5C" w:rsidRPr="00A2245E">
              <w:rPr>
                <w:rFonts w:ascii="Tahoma" w:hAnsi="Tahoma" w:cs="Tahoma"/>
              </w:rPr>
              <w:t>process of the Logistics</w:t>
            </w:r>
            <w:r w:rsidRPr="00A2245E">
              <w:rPr>
                <w:rFonts w:ascii="Tahoma" w:hAnsi="Tahoma" w:cs="Tahoma"/>
              </w:rPr>
              <w:t xml:space="preserve">. The role is responsible for the </w:t>
            </w:r>
            <w:r w:rsidR="00DD1E5C" w:rsidRPr="00A2245E">
              <w:rPr>
                <w:rFonts w:ascii="Tahoma" w:hAnsi="Tahoma" w:cs="Tahoma"/>
              </w:rPr>
              <w:t xml:space="preserve">generation of purchase orders, follow ups, payments and management of commitments, reporting on non-performance of service providers, </w:t>
            </w:r>
            <w:r w:rsidRPr="00A2245E">
              <w:rPr>
                <w:rFonts w:ascii="Tahoma" w:hAnsi="Tahoma" w:cs="Tahoma"/>
              </w:rPr>
              <w:t>purchase of goods, materials and services for the NDA as well as ensuring compliance with the Treasury policies and regulations</w:t>
            </w:r>
            <w:r w:rsidR="00DD1E5C" w:rsidRPr="00A2245E">
              <w:rPr>
                <w:rFonts w:ascii="Tahoma" w:hAnsi="Tahoma" w:cs="Tahoma"/>
              </w:rPr>
              <w:t xml:space="preserve">. </w:t>
            </w:r>
          </w:p>
        </w:tc>
      </w:tr>
      <w:tr w:rsidR="00625E2C" w:rsidRPr="00A2245E" w:rsidTr="00625E2C">
        <w:trPr>
          <w:cantSplit/>
        </w:trPr>
        <w:tc>
          <w:tcPr>
            <w:tcW w:w="2077" w:type="dxa"/>
            <w:vAlign w:val="center"/>
          </w:tcPr>
          <w:p w:rsidR="00625E2C" w:rsidRPr="00A2245E" w:rsidRDefault="00B22701" w:rsidP="00693F0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Division</w:t>
            </w:r>
          </w:p>
        </w:tc>
        <w:tc>
          <w:tcPr>
            <w:tcW w:w="8129" w:type="dxa"/>
            <w:vAlign w:val="center"/>
          </w:tcPr>
          <w:p w:rsidR="005763DC" w:rsidRPr="00A2245E" w:rsidRDefault="00B22701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Finance and Supply Chain</w:t>
            </w:r>
            <w:r w:rsidR="00CF133A">
              <w:rPr>
                <w:rFonts w:ascii="Tahoma" w:hAnsi="Tahoma" w:cs="Tahoma"/>
              </w:rPr>
              <w:t xml:space="preserve"> Management</w:t>
            </w:r>
          </w:p>
        </w:tc>
      </w:tr>
      <w:tr w:rsidR="00625E2C" w:rsidRPr="00A2245E" w:rsidTr="00625E2C">
        <w:trPr>
          <w:cantSplit/>
        </w:trPr>
        <w:tc>
          <w:tcPr>
            <w:tcW w:w="2077" w:type="dxa"/>
            <w:vAlign w:val="center"/>
          </w:tcPr>
          <w:p w:rsidR="00625E2C" w:rsidRPr="00A2245E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Reports To</w:t>
            </w:r>
          </w:p>
        </w:tc>
        <w:tc>
          <w:tcPr>
            <w:tcW w:w="8129" w:type="dxa"/>
            <w:vAlign w:val="center"/>
          </w:tcPr>
          <w:p w:rsidR="005763DC" w:rsidRPr="00A2245E" w:rsidRDefault="00017738" w:rsidP="003159C4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  <w:bCs/>
                <w:lang w:val="en-GB"/>
              </w:rPr>
              <w:t>Senior Manager: Supply Chain</w:t>
            </w:r>
            <w:r w:rsidR="00DD1E5C" w:rsidRPr="00A2245E">
              <w:rPr>
                <w:rFonts w:ascii="Tahoma" w:hAnsi="Tahoma" w:cs="Tahoma"/>
                <w:bCs/>
                <w:lang w:val="en-GB"/>
              </w:rPr>
              <w:t xml:space="preserve"> Management</w:t>
            </w:r>
          </w:p>
        </w:tc>
      </w:tr>
      <w:tr w:rsidR="00BE711D" w:rsidRPr="00A2245E" w:rsidTr="00625E2C">
        <w:trPr>
          <w:cantSplit/>
        </w:trPr>
        <w:tc>
          <w:tcPr>
            <w:tcW w:w="2077" w:type="dxa"/>
            <w:vAlign w:val="center"/>
          </w:tcPr>
          <w:p w:rsidR="00BE711D" w:rsidRPr="00A2245E" w:rsidRDefault="00BE711D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E22537" w:rsidRPr="00A2245E" w:rsidRDefault="00902A6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Head Office</w:t>
            </w:r>
          </w:p>
        </w:tc>
      </w:tr>
      <w:tr w:rsidR="00625E2C" w:rsidRPr="00A2245E" w:rsidTr="00625E2C">
        <w:trPr>
          <w:cantSplit/>
        </w:trPr>
        <w:tc>
          <w:tcPr>
            <w:tcW w:w="2077" w:type="dxa"/>
            <w:vAlign w:val="center"/>
          </w:tcPr>
          <w:p w:rsidR="00A95B66" w:rsidRPr="00A2245E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  <w:p w:rsidR="00625E2C" w:rsidRPr="00A2245E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Peromnes Grade</w:t>
            </w:r>
          </w:p>
          <w:p w:rsidR="00993313" w:rsidRPr="00A2245E" w:rsidRDefault="00993313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129" w:type="dxa"/>
            <w:vAlign w:val="center"/>
          </w:tcPr>
          <w:p w:rsidR="00625E2C" w:rsidRPr="00A2245E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5E2C" w:rsidRPr="00A2245E" w:rsidTr="00625E2C">
        <w:trPr>
          <w:cantSplit/>
        </w:trPr>
        <w:tc>
          <w:tcPr>
            <w:tcW w:w="2077" w:type="dxa"/>
            <w:vAlign w:val="center"/>
          </w:tcPr>
          <w:p w:rsidR="00625E2C" w:rsidRPr="00A2245E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Number of Direct Reports</w:t>
            </w:r>
          </w:p>
        </w:tc>
        <w:tc>
          <w:tcPr>
            <w:tcW w:w="8129" w:type="dxa"/>
            <w:vAlign w:val="center"/>
          </w:tcPr>
          <w:p w:rsidR="009970F0" w:rsidRPr="00A2245E" w:rsidRDefault="00A2245E" w:rsidP="00DD4CE7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</w:tbl>
    <w:p w:rsidR="00625E2C" w:rsidRPr="00A2245E" w:rsidRDefault="00625E2C" w:rsidP="00625E2C">
      <w:pPr>
        <w:tabs>
          <w:tab w:val="left" w:pos="600"/>
          <w:tab w:val="left" w:pos="2400"/>
          <w:tab w:val="left" w:pos="5400"/>
        </w:tabs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A2245E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A2245E" w:rsidRDefault="00625E2C" w:rsidP="00832091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  <w:b/>
                <w:bCs/>
              </w:rPr>
              <w:t>POSITION REQUIREMENTS</w:t>
            </w:r>
          </w:p>
        </w:tc>
      </w:tr>
      <w:tr w:rsidR="00625E2C" w:rsidRPr="00A2245E" w:rsidTr="00625E2C">
        <w:tc>
          <w:tcPr>
            <w:tcW w:w="2127" w:type="dxa"/>
          </w:tcPr>
          <w:p w:rsidR="00625E2C" w:rsidRPr="00A2245E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Minimum Qualification</w:t>
            </w:r>
          </w:p>
        </w:tc>
        <w:tc>
          <w:tcPr>
            <w:tcW w:w="8079" w:type="dxa"/>
          </w:tcPr>
          <w:p w:rsidR="00625E2C" w:rsidRPr="00A2245E" w:rsidRDefault="00B22701" w:rsidP="00C15277">
            <w:pPr>
              <w:numPr>
                <w:ilvl w:val="0"/>
                <w:numId w:val="30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</w:rPr>
              <w:t xml:space="preserve">Bachelors </w:t>
            </w:r>
            <w:r w:rsidR="00C15277">
              <w:rPr>
                <w:rFonts w:ascii="Tahoma" w:hAnsi="Tahoma" w:cs="Tahoma"/>
              </w:rPr>
              <w:t>Degree / National Diploma in Logistics/ Supply Chain/ Procurement</w:t>
            </w:r>
          </w:p>
        </w:tc>
      </w:tr>
      <w:tr w:rsidR="00017738" w:rsidRPr="00A2245E" w:rsidTr="00625E2C">
        <w:tc>
          <w:tcPr>
            <w:tcW w:w="2127" w:type="dxa"/>
          </w:tcPr>
          <w:p w:rsidR="00017738" w:rsidRPr="00A2245E" w:rsidRDefault="00017738" w:rsidP="00017738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Essential Experience</w:t>
            </w:r>
          </w:p>
        </w:tc>
        <w:tc>
          <w:tcPr>
            <w:tcW w:w="8079" w:type="dxa"/>
          </w:tcPr>
          <w:p w:rsidR="00017738" w:rsidRPr="00FF7B41" w:rsidRDefault="00FF7B41" w:rsidP="00FF7B41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017738" w:rsidRPr="00A2245E">
              <w:rPr>
                <w:rFonts w:ascii="Tahoma" w:hAnsi="Tahoma" w:cs="Tahoma"/>
              </w:rPr>
              <w:t xml:space="preserve"> </w:t>
            </w:r>
            <w:r w:rsidR="00DD1E5C" w:rsidRPr="00A2245E">
              <w:rPr>
                <w:rFonts w:ascii="Tahoma" w:hAnsi="Tahoma" w:cs="Tahoma"/>
              </w:rPr>
              <w:t>years’ experience</w:t>
            </w:r>
            <w:r w:rsidR="00017738" w:rsidRPr="00A2245E">
              <w:rPr>
                <w:rFonts w:ascii="Tahoma" w:hAnsi="Tahoma" w:cs="Tahoma"/>
              </w:rPr>
              <w:t xml:space="preserve"> in Supply Chain Management, and public sector procurement experience </w:t>
            </w:r>
          </w:p>
        </w:tc>
      </w:tr>
      <w:tr w:rsidR="00625E2C" w:rsidRPr="00A2245E" w:rsidTr="00625E2C">
        <w:tc>
          <w:tcPr>
            <w:tcW w:w="2127" w:type="dxa"/>
          </w:tcPr>
          <w:p w:rsidR="00625E2C" w:rsidRPr="00A2245E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Knowledge</w:t>
            </w:r>
          </w:p>
        </w:tc>
        <w:tc>
          <w:tcPr>
            <w:tcW w:w="8079" w:type="dxa"/>
          </w:tcPr>
          <w:p w:rsidR="00017738" w:rsidRPr="00A2245E" w:rsidRDefault="00017738" w:rsidP="0001773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Public Finance Management Act (PFMA)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National Treasury’s supply chain management guidelines, Treasury Regulation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Instructions Notes and Supply Chain Management Practice Notes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Preferential Procurement Policy Framework Act (PPPFA)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Broad Based Black Economic Empowerment (B-BBEE) Act and the Code of Good Practice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Understanding and knowledge of the Supply Chain Management cycle which includes demand, acquisition, logistics, disposal and supplier relationship management</w:t>
            </w:r>
          </w:p>
          <w:p w:rsidR="00017738" w:rsidRPr="00A2245E" w:rsidRDefault="00017738" w:rsidP="00017738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lastRenderedPageBreak/>
              <w:t>Advanced Computer Literacy</w:t>
            </w:r>
          </w:p>
        </w:tc>
      </w:tr>
      <w:tr w:rsidR="00017738" w:rsidRPr="00A2245E" w:rsidTr="000177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8" w:rsidRPr="00A2245E" w:rsidRDefault="00017738" w:rsidP="00017738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lastRenderedPageBreak/>
              <w:t>Skills &amp; Abilities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Communication</w:t>
            </w:r>
            <w:r w:rsidR="00FF7B41">
              <w:rPr>
                <w:rFonts w:ascii="Tahoma" w:hAnsi="Tahoma" w:cs="Tahoma"/>
              </w:rPr>
              <w:t xml:space="preserve"> (Verbal and Written)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Problem-solving</w:t>
            </w:r>
            <w:r w:rsidR="00FF7B41">
              <w:rPr>
                <w:rFonts w:ascii="Tahoma" w:hAnsi="Tahoma" w:cs="Tahoma"/>
              </w:rPr>
              <w:t xml:space="preserve"> and Conflict Management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Customer service orientation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Interpersonal skills</w:t>
            </w:r>
          </w:p>
          <w:p w:rsidR="00017738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Flexibility</w:t>
            </w:r>
          </w:p>
          <w:p w:rsidR="00FF7B41" w:rsidRPr="00A2245E" w:rsidRDefault="00FF7B41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Negotiation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Decisiveness</w:t>
            </w:r>
          </w:p>
          <w:p w:rsidR="00017738" w:rsidRPr="00FF7B41" w:rsidRDefault="00017738" w:rsidP="00FF7B41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Integrity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Accountability</w:t>
            </w:r>
          </w:p>
          <w:p w:rsidR="00017738" w:rsidRPr="00A2245E" w:rsidRDefault="00017738" w:rsidP="00017738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Monitoring and reporting</w:t>
            </w:r>
          </w:p>
          <w:p w:rsidR="00017738" w:rsidRPr="00FF7B41" w:rsidRDefault="00FF7B41" w:rsidP="00FF7B41">
            <w:pPr>
              <w:pStyle w:val="NoSpacing"/>
              <w:numPr>
                <w:ilvl w:val="0"/>
                <w:numId w:val="44"/>
              </w:numPr>
              <w:spacing w:line="276" w:lineRule="auto"/>
              <w:ind w:left="31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Supervision</w:t>
            </w:r>
          </w:p>
        </w:tc>
      </w:tr>
    </w:tbl>
    <w:p w:rsidR="00017738" w:rsidRPr="00A2245E" w:rsidRDefault="00017738">
      <w:pPr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017738" w:rsidRPr="00A2245E" w:rsidTr="0017693B">
        <w:tc>
          <w:tcPr>
            <w:tcW w:w="10206" w:type="dxa"/>
            <w:gridSpan w:val="2"/>
            <w:shd w:val="clear" w:color="auto" w:fill="BFBFBF"/>
          </w:tcPr>
          <w:p w:rsidR="00017738" w:rsidRPr="00A2245E" w:rsidRDefault="00017738" w:rsidP="0017693B">
            <w:pPr>
              <w:tabs>
                <w:tab w:val="left" w:pos="322"/>
              </w:tabs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  <w:b/>
                <w:bCs/>
              </w:rPr>
              <w:t>MAIN AREAS OF RESPONSIBILITY</w:t>
            </w:r>
          </w:p>
        </w:tc>
      </w:tr>
      <w:tr w:rsidR="00017738" w:rsidRPr="00A2245E" w:rsidTr="0017693B">
        <w:tc>
          <w:tcPr>
            <w:tcW w:w="2127" w:type="dxa"/>
          </w:tcPr>
          <w:p w:rsidR="00F31C6C" w:rsidRPr="00A2245E" w:rsidRDefault="00F31C6C" w:rsidP="00F31C6C">
            <w:pPr>
              <w:tabs>
                <w:tab w:val="num" w:pos="432"/>
              </w:tabs>
              <w:rPr>
                <w:rFonts w:ascii="Tahoma" w:hAnsi="Tahoma" w:cs="Tahoma"/>
                <w:lang w:val="en-GB"/>
              </w:rPr>
            </w:pPr>
            <w:r w:rsidRPr="00A2245E">
              <w:rPr>
                <w:rFonts w:ascii="Tahoma" w:hAnsi="Tahoma" w:cs="Tahoma"/>
              </w:rPr>
              <w:t>Supply Chain Role</w:t>
            </w:r>
          </w:p>
          <w:p w:rsidR="00017738" w:rsidRPr="00A2245E" w:rsidRDefault="00017738" w:rsidP="0017693B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8079" w:type="dxa"/>
          </w:tcPr>
          <w:p w:rsidR="00493D8C" w:rsidRPr="00A2245E" w:rsidRDefault="00FF7B41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Implement and review NDA supply chain management policy, processes and procedures</w:t>
            </w:r>
            <w:r w:rsidR="00F31C6C">
              <w:rPr>
                <w:rFonts w:ascii="Tahoma" w:hAnsi="Tahoma" w:cs="Tahoma"/>
              </w:rPr>
              <w:t xml:space="preserve"> and ensure alignment to National Treasury Prescripts.</w:t>
            </w:r>
          </w:p>
          <w:p w:rsidR="00493D8C" w:rsidRPr="00A2245E" w:rsidRDefault="00493D8C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Guide and advice departmental employees on logistics management matters to promote correct implementation and sound logistics practices</w:t>
            </w:r>
            <w:r w:rsidR="00FF7B41">
              <w:rPr>
                <w:rFonts w:ascii="Tahoma" w:hAnsi="Tahoma" w:cs="Tahoma"/>
              </w:rPr>
              <w:t>.</w:t>
            </w:r>
          </w:p>
          <w:p w:rsidR="00493D8C" w:rsidRPr="00A2245E" w:rsidRDefault="00493D8C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Provide monthly SCM reports on procurement of goods and services</w:t>
            </w:r>
            <w:r w:rsidR="00FF7B41">
              <w:rPr>
                <w:rFonts w:ascii="Tahoma" w:hAnsi="Tahoma" w:cs="Tahoma"/>
              </w:rPr>
              <w:t>.</w:t>
            </w:r>
          </w:p>
          <w:p w:rsidR="00493D8C" w:rsidRPr="00A2245E" w:rsidRDefault="00493D8C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Coordinate and facilitate the monthly SCM reports on procurement of goods and services.</w:t>
            </w:r>
          </w:p>
          <w:p w:rsidR="00493D8C" w:rsidRPr="00A2245E" w:rsidRDefault="00493D8C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Keep record of statistics required on government procurement goals</w:t>
            </w:r>
            <w:r w:rsidR="00FF7B41">
              <w:rPr>
                <w:rFonts w:ascii="Tahoma" w:hAnsi="Tahoma" w:cs="Tahoma"/>
              </w:rPr>
              <w:t>.</w:t>
            </w:r>
          </w:p>
          <w:p w:rsidR="00493D8C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Provide monthly reports on all open purchase orders</w:t>
            </w:r>
            <w:r w:rsidR="00FF7B41">
              <w:rPr>
                <w:rFonts w:ascii="Tahoma" w:hAnsi="Tahoma" w:cs="Tahoma"/>
              </w:rPr>
              <w:t>.</w:t>
            </w:r>
            <w:r w:rsidRPr="00A2245E">
              <w:rPr>
                <w:rFonts w:ascii="Tahoma" w:hAnsi="Tahoma" w:cs="Tahoma"/>
              </w:rPr>
              <w:t xml:space="preserve"> 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Processing of requisitions for goods and services</w:t>
            </w:r>
            <w:r w:rsidR="00FF7B41">
              <w:rPr>
                <w:rFonts w:ascii="Tahoma" w:hAnsi="Tahoma" w:cs="Tahoma"/>
              </w:rPr>
              <w:t>.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Coordinate the placement of orders for goods and services</w:t>
            </w:r>
            <w:r w:rsidR="00FF7B41">
              <w:rPr>
                <w:rFonts w:ascii="Tahoma" w:hAnsi="Tahoma" w:cs="Tahoma"/>
              </w:rPr>
              <w:t>.</w:t>
            </w:r>
            <w:r w:rsidRPr="00A2245E">
              <w:rPr>
                <w:rFonts w:ascii="Tahoma" w:hAnsi="Tahoma" w:cs="Tahoma"/>
              </w:rPr>
              <w:t xml:space="preserve"> 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Monitor the process of receiving and checking goods</w:t>
            </w:r>
            <w:r w:rsidR="00FF7B41">
              <w:rPr>
                <w:rFonts w:ascii="Tahoma" w:hAnsi="Tahoma" w:cs="Tahoma"/>
              </w:rPr>
              <w:t>.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Record and safekeeping of purchase orders awaiting delivery</w:t>
            </w:r>
            <w:r w:rsidR="00FF7B41">
              <w:rPr>
                <w:rFonts w:ascii="Tahoma" w:hAnsi="Tahoma" w:cs="Tahoma"/>
              </w:rPr>
              <w:t>.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Receive invoices and facilitate payments</w:t>
            </w:r>
            <w:r w:rsidR="00FF7B41">
              <w:rPr>
                <w:rFonts w:ascii="Tahoma" w:hAnsi="Tahoma" w:cs="Tahoma"/>
              </w:rPr>
              <w:t>.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Generation of Purchase orders</w:t>
            </w:r>
            <w:r w:rsidR="00FF7B41">
              <w:rPr>
                <w:rFonts w:ascii="Tahoma" w:hAnsi="Tahoma" w:cs="Tahoma"/>
              </w:rPr>
              <w:t>.</w:t>
            </w:r>
            <w:r w:rsidRPr="00A2245E">
              <w:rPr>
                <w:rFonts w:ascii="Tahoma" w:hAnsi="Tahoma" w:cs="Tahoma"/>
              </w:rPr>
              <w:t xml:space="preserve"> 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Keep an updated register of all purchase orders and report monthly</w:t>
            </w:r>
            <w:r w:rsidR="00FF7B41">
              <w:rPr>
                <w:rFonts w:ascii="Tahoma" w:hAnsi="Tahoma" w:cs="Tahoma"/>
              </w:rPr>
              <w:t>.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Place purchase order with the appointed service providers</w:t>
            </w:r>
            <w:r w:rsidR="00FF7B41">
              <w:rPr>
                <w:rFonts w:ascii="Tahoma" w:hAnsi="Tahoma" w:cs="Tahoma"/>
              </w:rPr>
              <w:t>.</w:t>
            </w:r>
          </w:p>
          <w:p w:rsidR="00130DB4" w:rsidRPr="00A2245E" w:rsidRDefault="00130DB4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Conduct quality check on all documents</w:t>
            </w:r>
            <w:r w:rsidR="00FF7B41">
              <w:rPr>
                <w:rFonts w:ascii="Tahoma" w:hAnsi="Tahoma" w:cs="Tahoma"/>
              </w:rPr>
              <w:t>.</w:t>
            </w:r>
          </w:p>
          <w:p w:rsidR="00017738" w:rsidRPr="00A2245E" w:rsidRDefault="00017738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Monitor SLA's with suppliers and their performance accordingly</w:t>
            </w:r>
            <w:r w:rsidR="00F31C6C">
              <w:rPr>
                <w:rFonts w:ascii="Tahoma" w:hAnsi="Tahoma" w:cs="Tahoma"/>
              </w:rPr>
              <w:t xml:space="preserve"> (Contract Management)</w:t>
            </w:r>
            <w:r w:rsidRPr="00A2245E">
              <w:rPr>
                <w:rFonts w:ascii="Tahoma" w:hAnsi="Tahoma" w:cs="Tahoma"/>
              </w:rPr>
              <w:t xml:space="preserve">. </w:t>
            </w:r>
          </w:p>
          <w:p w:rsidR="00017738" w:rsidRPr="00A2245E" w:rsidRDefault="00017738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 xml:space="preserve">Manage relationships with suppliers and partners in line with the core values and operational requirements of the NDA. </w:t>
            </w:r>
          </w:p>
          <w:p w:rsidR="00017738" w:rsidRPr="00A2245E" w:rsidRDefault="00FF7B41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Follow up and clarify </w:t>
            </w:r>
            <w:r w:rsidR="00017738" w:rsidRPr="00A2245E">
              <w:rPr>
                <w:rFonts w:ascii="Tahoma" w:hAnsi="Tahoma" w:cs="Tahoma"/>
              </w:rPr>
              <w:t xml:space="preserve">any complaints and infractions and ensure corrective action is taken towards non-compliant suppliers within the prescribed timelines and inform relevant stakeholders. </w:t>
            </w:r>
          </w:p>
          <w:p w:rsidR="00017738" w:rsidRPr="00A2245E" w:rsidRDefault="00017738" w:rsidP="00106CE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Develop and ensure 100% compliance and implementation of the procurement policy</w:t>
            </w:r>
            <w:r w:rsidR="00FF7B41">
              <w:rPr>
                <w:rFonts w:ascii="Tahoma" w:hAnsi="Tahoma" w:cs="Tahoma"/>
              </w:rPr>
              <w:t>.</w:t>
            </w:r>
            <w:r w:rsidRPr="00A2245E">
              <w:rPr>
                <w:rFonts w:ascii="Tahoma" w:hAnsi="Tahoma" w:cs="Tahoma"/>
              </w:rPr>
              <w:t xml:space="preserve"> </w:t>
            </w:r>
          </w:p>
          <w:p w:rsidR="00F31C6C" w:rsidRDefault="00017738" w:rsidP="00F31C6C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 xml:space="preserve">Procurement of goods and services from suppliers in line with the NDA </w:t>
            </w:r>
            <w:r w:rsidR="00F31C6C">
              <w:rPr>
                <w:rFonts w:ascii="Tahoma" w:hAnsi="Tahoma" w:cs="Tahoma"/>
              </w:rPr>
              <w:t xml:space="preserve">and National Treasury </w:t>
            </w:r>
            <w:r w:rsidRPr="00A2245E">
              <w:rPr>
                <w:rFonts w:ascii="Tahoma" w:hAnsi="Tahoma" w:cs="Tahoma"/>
              </w:rPr>
              <w:t>prescripts</w:t>
            </w:r>
            <w:r w:rsidR="00F31C6C">
              <w:rPr>
                <w:rFonts w:ascii="Tahoma" w:hAnsi="Tahoma" w:cs="Tahoma"/>
              </w:rPr>
              <w:t>.</w:t>
            </w:r>
            <w:r w:rsidR="00F31C6C" w:rsidRPr="00A2245E">
              <w:rPr>
                <w:rFonts w:ascii="Tahoma" w:hAnsi="Tahoma" w:cs="Tahoma"/>
              </w:rPr>
              <w:t xml:space="preserve"> </w:t>
            </w:r>
          </w:p>
          <w:p w:rsidR="00F31C6C" w:rsidRPr="00A2245E" w:rsidRDefault="00F31C6C" w:rsidP="00F31C6C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Train all company staff on Supply Chain Management policies and procedures and ensure adherence to processes</w:t>
            </w:r>
          </w:p>
          <w:p w:rsidR="00017738" w:rsidRPr="00A2245E" w:rsidRDefault="00017738" w:rsidP="00106CE9">
            <w:pPr>
              <w:numPr>
                <w:ilvl w:val="0"/>
                <w:numId w:val="34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7A6310" w:rsidRPr="00A2245E" w:rsidTr="0017693B">
        <w:tc>
          <w:tcPr>
            <w:tcW w:w="2127" w:type="dxa"/>
          </w:tcPr>
          <w:p w:rsidR="007A6310" w:rsidRPr="00A2245E" w:rsidRDefault="007A6310" w:rsidP="0017693B">
            <w:pPr>
              <w:tabs>
                <w:tab w:val="num" w:pos="432"/>
              </w:tabs>
              <w:ind w:left="72"/>
              <w:rPr>
                <w:rFonts w:ascii="Tahoma" w:hAnsi="Tahoma" w:cs="Tahoma"/>
                <w:b/>
              </w:rPr>
            </w:pPr>
            <w:r w:rsidRPr="00A2245E">
              <w:rPr>
                <w:rFonts w:ascii="Tahoma" w:hAnsi="Tahoma" w:cs="Tahoma"/>
                <w:b/>
              </w:rPr>
              <w:lastRenderedPageBreak/>
              <w:t>Regulatory Compliance</w:t>
            </w:r>
          </w:p>
        </w:tc>
        <w:tc>
          <w:tcPr>
            <w:tcW w:w="8079" w:type="dxa"/>
          </w:tcPr>
          <w:p w:rsidR="007A6310" w:rsidRPr="00A2245E" w:rsidRDefault="007A6310" w:rsidP="00493D8C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Ensure compliance with Treasury requirements, includes inter alia PFMA Act, PPPFA Act, BBBEE Act etc.</w:t>
            </w:r>
            <w:r w:rsidR="00493D8C" w:rsidRPr="00A2245E">
              <w:rPr>
                <w:rFonts w:ascii="Tahoma" w:hAnsi="Tahoma" w:cs="Tahoma"/>
              </w:rPr>
              <w:t xml:space="preserve"> Knowledge of Supply Chain Management in government</w:t>
            </w:r>
          </w:p>
        </w:tc>
      </w:tr>
      <w:tr w:rsidR="007A6310" w:rsidRPr="00A2245E" w:rsidTr="0017693B">
        <w:tc>
          <w:tcPr>
            <w:tcW w:w="2127" w:type="dxa"/>
          </w:tcPr>
          <w:p w:rsidR="007A6310" w:rsidRPr="00A2245E" w:rsidRDefault="007A6310" w:rsidP="00106CE9">
            <w:pPr>
              <w:tabs>
                <w:tab w:val="num" w:pos="432"/>
              </w:tabs>
              <w:ind w:left="72"/>
              <w:rPr>
                <w:rFonts w:ascii="Tahoma" w:hAnsi="Tahoma" w:cs="Tahoma"/>
                <w:b/>
              </w:rPr>
            </w:pPr>
            <w:r w:rsidRPr="00A2245E">
              <w:rPr>
                <w:rFonts w:ascii="Tahoma" w:hAnsi="Tahoma" w:cs="Tahoma"/>
                <w:b/>
              </w:rPr>
              <w:t>Procurement</w:t>
            </w:r>
            <w:r w:rsidR="00106CE9" w:rsidRPr="00A2245E">
              <w:rPr>
                <w:rFonts w:ascii="Tahoma" w:hAnsi="Tahoma" w:cs="Tahoma"/>
                <w:b/>
              </w:rPr>
              <w:t xml:space="preserve"> Administration</w:t>
            </w:r>
          </w:p>
        </w:tc>
        <w:tc>
          <w:tcPr>
            <w:tcW w:w="8079" w:type="dxa"/>
          </w:tcPr>
          <w:p w:rsidR="007A6310" w:rsidRPr="00A2245E" w:rsidRDefault="007A6310" w:rsidP="007A6310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Prepare an annual procurement plan and manage progress on an ongoing basis</w:t>
            </w:r>
          </w:p>
          <w:p w:rsidR="007A6310" w:rsidRPr="00A2245E" w:rsidRDefault="007A6310" w:rsidP="007A6310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Ensure that Vendor database has been developed, and tracked on a monthly basis to ensure that it is current and up to date.</w:t>
            </w:r>
          </w:p>
          <w:p w:rsidR="007A6310" w:rsidRPr="00A2245E" w:rsidRDefault="007A6310" w:rsidP="007A6310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Manage employees within the procurement team appropriately to optimise business performance and the underwriting service to customers</w:t>
            </w:r>
          </w:p>
          <w:p w:rsidR="007A6310" w:rsidRPr="00F31C6C" w:rsidRDefault="007A6310" w:rsidP="00F31C6C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Identify and implement optimization strategies for procurement.</w:t>
            </w:r>
          </w:p>
        </w:tc>
      </w:tr>
    </w:tbl>
    <w:p w:rsidR="007A6310" w:rsidRDefault="007A6310">
      <w:pPr>
        <w:rPr>
          <w:rFonts w:ascii="Tahoma" w:hAnsi="Tahoma" w:cs="Tahoma"/>
        </w:rPr>
      </w:pPr>
    </w:p>
    <w:p w:rsidR="00A2245E" w:rsidRPr="00A2245E" w:rsidRDefault="00A2245E">
      <w:pPr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28"/>
        <w:gridCol w:w="5278"/>
      </w:tblGrid>
      <w:tr w:rsidR="007A6310" w:rsidRPr="00A2245E" w:rsidTr="0017693B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7A6310" w:rsidRPr="00A2245E" w:rsidRDefault="007A6310" w:rsidP="0017693B">
            <w:pPr>
              <w:rPr>
                <w:rFonts w:ascii="Tahoma" w:hAnsi="Tahoma" w:cs="Tahoma"/>
                <w:b/>
                <w:bCs/>
                <w:lang w:val="en-AU"/>
              </w:rPr>
            </w:pPr>
            <w:r w:rsidRPr="00A2245E">
              <w:rPr>
                <w:rFonts w:ascii="Tahoma" w:hAnsi="Tahoma" w:cs="Tahoma"/>
                <w:b/>
                <w:bCs/>
                <w:lang w:val="en-AU"/>
              </w:rPr>
              <w:br w:type="page"/>
              <w:t>KEY RELATIONSHIP INTERFACES</w:t>
            </w:r>
          </w:p>
        </w:tc>
      </w:tr>
      <w:tr w:rsidR="007A6310" w:rsidRPr="00A2245E" w:rsidTr="0017693B">
        <w:trPr>
          <w:trHeight w:val="549"/>
        </w:trPr>
        <w:tc>
          <w:tcPr>
            <w:tcW w:w="4928" w:type="dxa"/>
          </w:tcPr>
          <w:p w:rsidR="007A6310" w:rsidRPr="00A2245E" w:rsidRDefault="007A6310" w:rsidP="0017693B">
            <w:pPr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 xml:space="preserve">Internal Relationships - other than reporting lines (manager and subordinates). </w:t>
            </w:r>
            <w:r w:rsidRPr="00A2245E">
              <w:rPr>
                <w:rFonts w:ascii="Tahoma" w:hAnsi="Tahoma" w:cs="Tahoma"/>
                <w:bCs/>
              </w:rPr>
              <w:t>*</w:t>
            </w:r>
          </w:p>
        </w:tc>
        <w:tc>
          <w:tcPr>
            <w:tcW w:w="5278" w:type="dxa"/>
          </w:tcPr>
          <w:p w:rsidR="007A6310" w:rsidRPr="00A2245E" w:rsidRDefault="007A6310" w:rsidP="0017693B">
            <w:pPr>
              <w:rPr>
                <w:rFonts w:ascii="Tahoma" w:hAnsi="Tahoma" w:cs="Tahoma"/>
                <w:b/>
                <w:bCs/>
              </w:rPr>
            </w:pPr>
            <w:r w:rsidRPr="00A2245E">
              <w:rPr>
                <w:rFonts w:ascii="Tahoma" w:hAnsi="Tahoma" w:cs="Tahoma"/>
                <w:b/>
                <w:bCs/>
              </w:rPr>
              <w:t>External Relationships (With Local/Provincial structures and other key parties, specify)</w:t>
            </w:r>
          </w:p>
        </w:tc>
      </w:tr>
      <w:tr w:rsidR="007A6310" w:rsidRPr="00A2245E" w:rsidTr="007A6310">
        <w:trPr>
          <w:cantSplit/>
          <w:trHeight w:val="555"/>
        </w:trPr>
        <w:tc>
          <w:tcPr>
            <w:tcW w:w="4928" w:type="dxa"/>
          </w:tcPr>
          <w:p w:rsidR="007A6310" w:rsidRPr="00A2245E" w:rsidRDefault="00F31C6C" w:rsidP="0017693B">
            <w:pPr>
              <w:numPr>
                <w:ilvl w:val="0"/>
                <w:numId w:val="29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All NDA Employees</w:t>
            </w:r>
          </w:p>
        </w:tc>
        <w:tc>
          <w:tcPr>
            <w:tcW w:w="5278" w:type="dxa"/>
          </w:tcPr>
          <w:p w:rsidR="00A77AB7" w:rsidRDefault="00A77AB7" w:rsidP="0017693B">
            <w:pPr>
              <w:numPr>
                <w:ilvl w:val="0"/>
                <w:numId w:val="29"/>
              </w:numPr>
              <w:rPr>
                <w:rFonts w:ascii="Tahoma" w:hAnsi="Tahoma" w:cs="Tahoma"/>
                <w:lang w:val="en-GB"/>
              </w:rPr>
            </w:pPr>
            <w:r w:rsidRPr="00A2245E">
              <w:rPr>
                <w:rFonts w:ascii="Tahoma" w:hAnsi="Tahoma" w:cs="Tahoma"/>
                <w:lang w:val="en-GB"/>
              </w:rPr>
              <w:t>Service Providers</w:t>
            </w:r>
          </w:p>
          <w:p w:rsidR="00F31C6C" w:rsidRDefault="00F31C6C" w:rsidP="0017693B">
            <w:pPr>
              <w:numPr>
                <w:ilvl w:val="0"/>
                <w:numId w:val="29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Sector Departments </w:t>
            </w:r>
          </w:p>
          <w:p w:rsidR="00F31C6C" w:rsidRPr="00A2245E" w:rsidRDefault="00F31C6C" w:rsidP="0017693B">
            <w:pPr>
              <w:numPr>
                <w:ilvl w:val="0"/>
                <w:numId w:val="29"/>
              </w:num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National Treasury</w:t>
            </w:r>
          </w:p>
        </w:tc>
      </w:tr>
    </w:tbl>
    <w:p w:rsidR="007A6310" w:rsidRPr="00A2245E" w:rsidRDefault="007A6310">
      <w:pPr>
        <w:rPr>
          <w:rFonts w:ascii="Tahoma" w:hAnsi="Tahoma" w:cs="Tahoma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7A6310" w:rsidRPr="00A2245E" w:rsidTr="0017693B">
        <w:tc>
          <w:tcPr>
            <w:tcW w:w="4962" w:type="dxa"/>
          </w:tcPr>
          <w:p w:rsidR="007A6310" w:rsidRPr="00A2245E" w:rsidRDefault="007A6310" w:rsidP="0017693B">
            <w:pPr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Signed by:</w:t>
            </w:r>
          </w:p>
          <w:p w:rsidR="007A6310" w:rsidRPr="00A2245E" w:rsidRDefault="007A6310" w:rsidP="0017693B">
            <w:pPr>
              <w:rPr>
                <w:rFonts w:ascii="Tahoma" w:hAnsi="Tahoma" w:cs="Tahoma"/>
                <w:color w:val="000000"/>
              </w:rPr>
            </w:pPr>
            <w:r w:rsidRPr="00A2245E">
              <w:rPr>
                <w:rFonts w:ascii="Tahoma" w:hAnsi="Tahoma" w:cs="Tahoma"/>
                <w:color w:val="000000"/>
              </w:rPr>
              <w:t>(</w:t>
            </w:r>
            <w:r w:rsidRPr="00A2245E">
              <w:rPr>
                <w:rFonts w:ascii="Tahoma" w:hAnsi="Tahoma" w:cs="Tahoma"/>
                <w:b/>
                <w:color w:val="000000"/>
              </w:rPr>
              <w:t>Job Holder)</w:t>
            </w:r>
          </w:p>
        </w:tc>
        <w:tc>
          <w:tcPr>
            <w:tcW w:w="5244" w:type="dxa"/>
          </w:tcPr>
          <w:p w:rsidR="007A6310" w:rsidRPr="00A2245E" w:rsidRDefault="007A6310" w:rsidP="0017693B">
            <w:pPr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Authorised by:</w:t>
            </w:r>
          </w:p>
        </w:tc>
      </w:tr>
      <w:tr w:rsidR="007A6310" w:rsidRPr="00A2245E" w:rsidTr="0017693B">
        <w:tc>
          <w:tcPr>
            <w:tcW w:w="4962" w:type="dxa"/>
          </w:tcPr>
          <w:p w:rsidR="007A6310" w:rsidRPr="00A2245E" w:rsidRDefault="007A6310" w:rsidP="0017693B">
            <w:pPr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Date:</w:t>
            </w:r>
          </w:p>
          <w:p w:rsidR="007A6310" w:rsidRPr="00A2245E" w:rsidRDefault="007A6310" w:rsidP="0017693B">
            <w:pPr>
              <w:rPr>
                <w:rFonts w:ascii="Tahoma" w:hAnsi="Tahoma" w:cs="Tahoma"/>
              </w:rPr>
            </w:pPr>
          </w:p>
        </w:tc>
        <w:tc>
          <w:tcPr>
            <w:tcW w:w="5244" w:type="dxa"/>
          </w:tcPr>
          <w:p w:rsidR="007A6310" w:rsidRPr="00A2245E" w:rsidRDefault="007A6310" w:rsidP="0017693B">
            <w:pPr>
              <w:rPr>
                <w:rFonts w:ascii="Tahoma" w:hAnsi="Tahoma" w:cs="Tahoma"/>
              </w:rPr>
            </w:pPr>
            <w:r w:rsidRPr="00A2245E">
              <w:rPr>
                <w:rFonts w:ascii="Tahoma" w:hAnsi="Tahoma" w:cs="Tahoma"/>
              </w:rPr>
              <w:t>Date:</w:t>
            </w:r>
          </w:p>
        </w:tc>
      </w:tr>
    </w:tbl>
    <w:p w:rsidR="00226C04" w:rsidRPr="00A2245E" w:rsidRDefault="00226C04" w:rsidP="00625E2C">
      <w:pPr>
        <w:rPr>
          <w:rFonts w:ascii="Tahoma" w:hAnsi="Tahoma" w:cs="Tahoma"/>
        </w:rPr>
      </w:pPr>
    </w:p>
    <w:p w:rsidR="00226C04" w:rsidRPr="00A2245E" w:rsidRDefault="00226C04" w:rsidP="00625E2C">
      <w:pPr>
        <w:rPr>
          <w:rFonts w:ascii="Tahoma" w:hAnsi="Tahoma" w:cs="Tahoma"/>
        </w:rPr>
      </w:pPr>
    </w:p>
    <w:p w:rsidR="00226C04" w:rsidRPr="00A2245E" w:rsidRDefault="00226C04" w:rsidP="00625E2C">
      <w:pPr>
        <w:rPr>
          <w:rFonts w:ascii="Tahoma" w:hAnsi="Tahoma" w:cs="Tahoma"/>
        </w:rPr>
      </w:pPr>
    </w:p>
    <w:p w:rsidR="00226C04" w:rsidRPr="00A2245E" w:rsidRDefault="00226C04" w:rsidP="00625E2C">
      <w:pPr>
        <w:rPr>
          <w:rFonts w:ascii="Tahoma" w:hAnsi="Tahoma" w:cs="Tahoma"/>
        </w:rPr>
      </w:pPr>
    </w:p>
    <w:p w:rsidR="00625E2C" w:rsidRPr="00A2245E" w:rsidRDefault="00625E2C" w:rsidP="00625E2C">
      <w:pPr>
        <w:rPr>
          <w:rFonts w:ascii="Tahoma" w:hAnsi="Tahoma" w:cs="Tahoma"/>
        </w:rPr>
      </w:pPr>
    </w:p>
    <w:p w:rsidR="00625E2C" w:rsidRPr="00A2245E" w:rsidRDefault="00625E2C" w:rsidP="00625E2C">
      <w:pPr>
        <w:tabs>
          <w:tab w:val="left" w:pos="6060"/>
        </w:tabs>
        <w:rPr>
          <w:rFonts w:ascii="Tahoma" w:hAnsi="Tahoma" w:cs="Tahoma"/>
        </w:rPr>
      </w:pPr>
    </w:p>
    <w:sectPr w:rsidR="00625E2C" w:rsidRPr="00A2245E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3E" w:rsidRDefault="0035783E" w:rsidP="00625E2C">
      <w:pPr>
        <w:spacing w:after="0" w:line="240" w:lineRule="auto"/>
      </w:pPr>
      <w:r>
        <w:separator/>
      </w:r>
    </w:p>
  </w:endnote>
  <w:endnote w:type="continuationSeparator" w:id="0">
    <w:p w:rsidR="0035783E" w:rsidRDefault="0035783E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174956200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63DC" w:rsidRPr="005763DC" w:rsidRDefault="005763DC" w:rsidP="005763DC">
            <w:pPr>
              <w:pStyle w:val="Footer"/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5763DC">
              <w:rPr>
                <w:b/>
                <w:sz w:val="20"/>
                <w:szCs w:val="20"/>
              </w:rPr>
              <w:t xml:space="preserve">Job Profile </w:t>
            </w:r>
            <w:r w:rsidR="007A6310">
              <w:rPr>
                <w:b/>
                <w:sz w:val="20"/>
                <w:szCs w:val="20"/>
              </w:rPr>
              <w:t>– Senior Supply Chain Officer(Logis</w:t>
            </w:r>
            <w:r w:rsidR="00A2245E">
              <w:rPr>
                <w:b/>
                <w:sz w:val="20"/>
                <w:szCs w:val="20"/>
              </w:rPr>
              <w:t>tics</w:t>
            </w:r>
            <w:r w:rsidR="007A6310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5763DC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5763DC">
              <w:rPr>
                <w:b/>
                <w:sz w:val="20"/>
                <w:szCs w:val="20"/>
              </w:rPr>
              <w:t xml:space="preserve">Page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PAGE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F75084">
              <w:rPr>
                <w:b/>
                <w:noProof/>
                <w:sz w:val="20"/>
                <w:szCs w:val="20"/>
              </w:rPr>
              <w:t>1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  <w:r w:rsidRPr="005763DC">
              <w:rPr>
                <w:b/>
                <w:sz w:val="20"/>
                <w:szCs w:val="20"/>
              </w:rPr>
              <w:t xml:space="preserve"> of </w:t>
            </w:r>
            <w:r w:rsidR="007A6310">
              <w:rPr>
                <w:b/>
                <w:sz w:val="20"/>
                <w:szCs w:val="20"/>
              </w:rPr>
              <w:t>3</w:t>
            </w:r>
          </w:p>
        </w:sdtContent>
      </w:sdt>
    </w:sdtContent>
  </w:sdt>
  <w:p w:rsidR="00F74EFF" w:rsidRDefault="00F74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3E" w:rsidRDefault="0035783E" w:rsidP="00625E2C">
      <w:pPr>
        <w:spacing w:after="0" w:line="240" w:lineRule="auto"/>
      </w:pPr>
      <w:r>
        <w:separator/>
      </w:r>
    </w:p>
  </w:footnote>
  <w:footnote w:type="continuationSeparator" w:id="0">
    <w:p w:rsidR="0035783E" w:rsidRDefault="0035783E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1C6FF2"/>
    <w:lvl w:ilvl="0">
      <w:numFmt w:val="decimal"/>
      <w:lvlText w:val="*"/>
      <w:lvlJc w:val="left"/>
    </w:lvl>
  </w:abstractNum>
  <w:abstractNum w:abstractNumId="1" w15:restartNumberingAfterBreak="0">
    <w:nsid w:val="02FB15F2"/>
    <w:multiLevelType w:val="hybridMultilevel"/>
    <w:tmpl w:val="29C4C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176"/>
    <w:multiLevelType w:val="hybridMultilevel"/>
    <w:tmpl w:val="F9D64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D0BF8"/>
    <w:multiLevelType w:val="hybridMultilevel"/>
    <w:tmpl w:val="3292904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C50F4"/>
    <w:multiLevelType w:val="hybridMultilevel"/>
    <w:tmpl w:val="5D5612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81781"/>
    <w:multiLevelType w:val="hybridMultilevel"/>
    <w:tmpl w:val="B0760C1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22A95"/>
    <w:multiLevelType w:val="hybridMultilevel"/>
    <w:tmpl w:val="842634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2B6E"/>
    <w:multiLevelType w:val="hybridMultilevel"/>
    <w:tmpl w:val="303E1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100B8"/>
    <w:multiLevelType w:val="hybridMultilevel"/>
    <w:tmpl w:val="7FFC48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C2AB1"/>
    <w:multiLevelType w:val="hybridMultilevel"/>
    <w:tmpl w:val="E9F025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E778C"/>
    <w:multiLevelType w:val="hybridMultilevel"/>
    <w:tmpl w:val="2DA0D2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12F3D"/>
    <w:multiLevelType w:val="hybridMultilevel"/>
    <w:tmpl w:val="0E10ECB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6643E"/>
    <w:multiLevelType w:val="hybridMultilevel"/>
    <w:tmpl w:val="46FEF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A58BF"/>
    <w:multiLevelType w:val="hybridMultilevel"/>
    <w:tmpl w:val="E5269E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7A2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18717F"/>
    <w:multiLevelType w:val="hybridMultilevel"/>
    <w:tmpl w:val="CB5E6B10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D732B"/>
    <w:multiLevelType w:val="hybridMultilevel"/>
    <w:tmpl w:val="AF587694"/>
    <w:lvl w:ilvl="0" w:tplc="2820D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EE2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18B6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44A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5A4C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CEEA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6ACB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F4A2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A07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D9091F"/>
    <w:multiLevelType w:val="hybridMultilevel"/>
    <w:tmpl w:val="1F28BD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36935"/>
    <w:multiLevelType w:val="hybridMultilevel"/>
    <w:tmpl w:val="A642D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725553"/>
    <w:multiLevelType w:val="hybridMultilevel"/>
    <w:tmpl w:val="4FBC49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5012049"/>
    <w:multiLevelType w:val="hybridMultilevel"/>
    <w:tmpl w:val="7B9E0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E3A62"/>
    <w:multiLevelType w:val="hybridMultilevel"/>
    <w:tmpl w:val="271A59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C0893"/>
    <w:multiLevelType w:val="hybridMultilevel"/>
    <w:tmpl w:val="43AC6C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A2768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2" w:tplc="FDF8D3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2775D7"/>
    <w:multiLevelType w:val="hybridMultilevel"/>
    <w:tmpl w:val="F68010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C15D7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F8D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D2331"/>
    <w:multiLevelType w:val="hybridMultilevel"/>
    <w:tmpl w:val="4B382E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F6060"/>
    <w:multiLevelType w:val="hybridMultilevel"/>
    <w:tmpl w:val="1CC2826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AA623C"/>
    <w:multiLevelType w:val="hybridMultilevel"/>
    <w:tmpl w:val="E51022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A41C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6598A"/>
    <w:multiLevelType w:val="hybridMultilevel"/>
    <w:tmpl w:val="8160A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54B8D"/>
    <w:multiLevelType w:val="hybridMultilevel"/>
    <w:tmpl w:val="7536FD40"/>
    <w:lvl w:ilvl="0" w:tplc="40C06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BF4DFC"/>
    <w:multiLevelType w:val="hybridMultilevel"/>
    <w:tmpl w:val="FB2080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BD0930"/>
    <w:multiLevelType w:val="hybridMultilevel"/>
    <w:tmpl w:val="2BDCD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7262A"/>
    <w:multiLevelType w:val="hybridMultilevel"/>
    <w:tmpl w:val="BD2CB3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849BC"/>
    <w:multiLevelType w:val="hybridMultilevel"/>
    <w:tmpl w:val="CC3E0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34CA0"/>
    <w:multiLevelType w:val="hybridMultilevel"/>
    <w:tmpl w:val="BA34D7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56773"/>
    <w:multiLevelType w:val="hybridMultilevel"/>
    <w:tmpl w:val="46823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30875"/>
    <w:multiLevelType w:val="hybridMultilevel"/>
    <w:tmpl w:val="4C0CE9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6125D"/>
    <w:multiLevelType w:val="hybridMultilevel"/>
    <w:tmpl w:val="6B2E4F12"/>
    <w:lvl w:ilvl="0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766A4"/>
    <w:multiLevelType w:val="hybridMultilevel"/>
    <w:tmpl w:val="BFC8DB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3730C4"/>
    <w:multiLevelType w:val="hybridMultilevel"/>
    <w:tmpl w:val="7F66F65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14"/>
  </w:num>
  <w:num w:numId="7">
    <w:abstractNumId w:val="30"/>
  </w:num>
  <w:num w:numId="8">
    <w:abstractNumId w:val="27"/>
  </w:num>
  <w:num w:numId="9">
    <w:abstractNumId w:val="26"/>
  </w:num>
  <w:num w:numId="10">
    <w:abstractNumId w:val="24"/>
  </w:num>
  <w:num w:numId="11">
    <w:abstractNumId w:val="39"/>
  </w:num>
  <w:num w:numId="12">
    <w:abstractNumId w:val="22"/>
  </w:num>
  <w:num w:numId="13">
    <w:abstractNumId w:val="33"/>
  </w:num>
  <w:num w:numId="14">
    <w:abstractNumId w:val="23"/>
  </w:num>
  <w:num w:numId="15">
    <w:abstractNumId w:val="37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  <w:num w:numId="20">
    <w:abstractNumId w:val="35"/>
  </w:num>
  <w:num w:numId="21">
    <w:abstractNumId w:val="38"/>
  </w:num>
  <w:num w:numId="22">
    <w:abstractNumId w:val="25"/>
  </w:num>
  <w:num w:numId="23">
    <w:abstractNumId w:val="21"/>
  </w:num>
  <w:num w:numId="24">
    <w:abstractNumId w:val="3"/>
  </w:num>
  <w:num w:numId="25">
    <w:abstractNumId w:val="11"/>
  </w:num>
  <w:num w:numId="26">
    <w:abstractNumId w:val="19"/>
  </w:num>
  <w:num w:numId="27">
    <w:abstractNumId w:val="40"/>
  </w:num>
  <w:num w:numId="28">
    <w:abstractNumId w:val="41"/>
  </w:num>
  <w:num w:numId="29">
    <w:abstractNumId w:val="34"/>
  </w:num>
  <w:num w:numId="30">
    <w:abstractNumId w:val="13"/>
  </w:num>
  <w:num w:numId="31">
    <w:abstractNumId w:val="32"/>
  </w:num>
  <w:num w:numId="32">
    <w:abstractNumId w:val="9"/>
  </w:num>
  <w:num w:numId="33">
    <w:abstractNumId w:val="28"/>
  </w:num>
  <w:num w:numId="34">
    <w:abstractNumId w:val="6"/>
  </w:num>
  <w:num w:numId="35">
    <w:abstractNumId w:val="5"/>
  </w:num>
  <w:num w:numId="36">
    <w:abstractNumId w:val="18"/>
  </w:num>
  <w:num w:numId="37">
    <w:abstractNumId w:val="29"/>
  </w:num>
  <w:num w:numId="38">
    <w:abstractNumId w:val="31"/>
  </w:num>
  <w:num w:numId="39">
    <w:abstractNumId w:val="8"/>
  </w:num>
  <w:num w:numId="4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C"/>
    <w:rsid w:val="00017738"/>
    <w:rsid w:val="000426D1"/>
    <w:rsid w:val="000539E7"/>
    <w:rsid w:val="00056857"/>
    <w:rsid w:val="000A54A5"/>
    <w:rsid w:val="000B138A"/>
    <w:rsid w:val="000C13C6"/>
    <w:rsid w:val="000D242C"/>
    <w:rsid w:val="000F1979"/>
    <w:rsid w:val="00106CE9"/>
    <w:rsid w:val="001261AE"/>
    <w:rsid w:val="00127F29"/>
    <w:rsid w:val="00130DB4"/>
    <w:rsid w:val="00130EF0"/>
    <w:rsid w:val="00151ED0"/>
    <w:rsid w:val="001736B0"/>
    <w:rsid w:val="00176598"/>
    <w:rsid w:val="00191598"/>
    <w:rsid w:val="001B57C9"/>
    <w:rsid w:val="0021569C"/>
    <w:rsid w:val="00216E03"/>
    <w:rsid w:val="002245D7"/>
    <w:rsid w:val="00226C04"/>
    <w:rsid w:val="002332C8"/>
    <w:rsid w:val="002705D3"/>
    <w:rsid w:val="00284DFB"/>
    <w:rsid w:val="002C7885"/>
    <w:rsid w:val="002E3B3D"/>
    <w:rsid w:val="003159C4"/>
    <w:rsid w:val="00342C27"/>
    <w:rsid w:val="0035783E"/>
    <w:rsid w:val="00366E51"/>
    <w:rsid w:val="00372E37"/>
    <w:rsid w:val="00400AF6"/>
    <w:rsid w:val="004848CE"/>
    <w:rsid w:val="00493D8C"/>
    <w:rsid w:val="004E0B97"/>
    <w:rsid w:val="004F2102"/>
    <w:rsid w:val="00534FF7"/>
    <w:rsid w:val="005730B1"/>
    <w:rsid w:val="005763DC"/>
    <w:rsid w:val="005A4A38"/>
    <w:rsid w:val="005B0138"/>
    <w:rsid w:val="005B67D5"/>
    <w:rsid w:val="00625E2C"/>
    <w:rsid w:val="00640D79"/>
    <w:rsid w:val="00693F06"/>
    <w:rsid w:val="00721063"/>
    <w:rsid w:val="007501CF"/>
    <w:rsid w:val="007A6310"/>
    <w:rsid w:val="007E1466"/>
    <w:rsid w:val="007E236A"/>
    <w:rsid w:val="00832091"/>
    <w:rsid w:val="00902A67"/>
    <w:rsid w:val="009437F4"/>
    <w:rsid w:val="00956BC1"/>
    <w:rsid w:val="00965162"/>
    <w:rsid w:val="00993313"/>
    <w:rsid w:val="009970F0"/>
    <w:rsid w:val="00A02369"/>
    <w:rsid w:val="00A1313A"/>
    <w:rsid w:val="00A2245E"/>
    <w:rsid w:val="00A2398F"/>
    <w:rsid w:val="00A74BD7"/>
    <w:rsid w:val="00A77AB7"/>
    <w:rsid w:val="00A95B66"/>
    <w:rsid w:val="00AC40D9"/>
    <w:rsid w:val="00AD03DF"/>
    <w:rsid w:val="00B22701"/>
    <w:rsid w:val="00B227C8"/>
    <w:rsid w:val="00BE711D"/>
    <w:rsid w:val="00BF529A"/>
    <w:rsid w:val="00C03A7E"/>
    <w:rsid w:val="00C15277"/>
    <w:rsid w:val="00C35349"/>
    <w:rsid w:val="00C730A9"/>
    <w:rsid w:val="00CB4993"/>
    <w:rsid w:val="00CF133A"/>
    <w:rsid w:val="00CF3ADC"/>
    <w:rsid w:val="00D00230"/>
    <w:rsid w:val="00D03909"/>
    <w:rsid w:val="00D31FED"/>
    <w:rsid w:val="00D34807"/>
    <w:rsid w:val="00D8308E"/>
    <w:rsid w:val="00DA2BC2"/>
    <w:rsid w:val="00DB636B"/>
    <w:rsid w:val="00DC2787"/>
    <w:rsid w:val="00DD1E5C"/>
    <w:rsid w:val="00DD4CE7"/>
    <w:rsid w:val="00E1523E"/>
    <w:rsid w:val="00E22537"/>
    <w:rsid w:val="00E42F2A"/>
    <w:rsid w:val="00E71585"/>
    <w:rsid w:val="00E868EA"/>
    <w:rsid w:val="00E9679B"/>
    <w:rsid w:val="00EA66F0"/>
    <w:rsid w:val="00EF0BF9"/>
    <w:rsid w:val="00F211B7"/>
    <w:rsid w:val="00F30FAE"/>
    <w:rsid w:val="00F31C6C"/>
    <w:rsid w:val="00F463EC"/>
    <w:rsid w:val="00F74EFF"/>
    <w:rsid w:val="00F7508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2BDD11-D684-4002-A8D4-36C4278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AD03DF"/>
    <w:pPr>
      <w:spacing w:after="0" w:line="240" w:lineRule="auto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D03DF"/>
    <w:rPr>
      <w:rFonts w:ascii="Arial" w:eastAsia="Times New Roman" w:hAnsi="Arial" w:cs="Arial"/>
      <w:sz w:val="18"/>
      <w:szCs w:val="24"/>
      <w:lang w:val="en-GB"/>
    </w:rPr>
  </w:style>
  <w:style w:type="paragraph" w:styleId="NoSpacing">
    <w:name w:val="No Spacing"/>
    <w:uiPriority w:val="1"/>
    <w:qFormat/>
    <w:rsid w:val="000177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NelisiweM</dc:creator>
  <cp:lastModifiedBy>Sibusiso Mlambo</cp:lastModifiedBy>
  <cp:revision>2</cp:revision>
  <cp:lastPrinted>2017-02-14T08:39:00Z</cp:lastPrinted>
  <dcterms:created xsi:type="dcterms:W3CDTF">2020-07-01T08:36:00Z</dcterms:created>
  <dcterms:modified xsi:type="dcterms:W3CDTF">2020-07-01T08:36:00Z</dcterms:modified>
</cp:coreProperties>
</file>